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color w:val="00008b"/>
          <w:sz w:val="36"/>
          <w:szCs w:val="36"/>
          <w:rtl w:val="0"/>
        </w:rPr>
        <w:t xml:space="preserve">MAHMOUD ATEF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Surveyor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color w:val="00008b"/>
          <w:sz w:val="28"/>
          <w:szCs w:val="28"/>
          <w:rtl w:val="0"/>
        </w:rPr>
        <w:t xml:space="preserve">Contact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+971-544410281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Mahmoud.a.muhammed.198@gmail.com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Abu Dhabi, United Arab Emirates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color w:val="00008b"/>
          <w:sz w:val="28"/>
          <w:szCs w:val="28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Motivated and detail-oriented Surveyor Engineer with multidisciplinary experience in surveying, quality control, and electrical supervision. Known for adaptability, leadership, and a proactive approach to solving technical challenges. Proven ability to work under pressure, communicate effectively, and contribute to successful project execution.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color w:val="00008b"/>
          <w:sz w:val="28"/>
          <w:szCs w:val="28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Surveyor Engineer – Petrojet &amp; Many Contracting Companies – Egypt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2016 –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Conducted geodetic and topographic surveys using remote sensing and marine surveying techniques.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Produced maps and plans, coordinated survey data, and followed up on implementation in line with specifications.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Electrical Supervisor (L.V and M.V Panels) – 2M for Electrical Works – Egypt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2017 –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Supervised installation and maintenance of power cables and infrastructure.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Delegated technical tasks, resolved field problems, and ensured compliance with electrical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Quality Controller Engineer – German Company for Manufacturing Batteries – Egypt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2022 –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Implemented and monitored quality control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Conducted inspections, analyzed data, and developed corrective actions for process improvement.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Security Guard Team Leader – Al Jaber Security Company – UAE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March 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Led security operations, monitored surveillance systems, and ensured facility safety.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Reported incidents and maintained compliance with internal protocols.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color w:val="00008b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Bachelor of Arts and Humanities Sciences – Geography and Maps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Suez Canal University, Egypt – 2016 –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High School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Al-Tall Al-Kabir Secondary School for Boys – 2013 –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color w:val="00008b"/>
          <w:sz w:val="28"/>
          <w:szCs w:val="28"/>
          <w:rtl w:val="0"/>
        </w:rPr>
        <w:t xml:space="preserve">Certifications &amp; 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Ministry of Manpower License – Electrical Installations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English Language Improvement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ICDL (International Computer Driving License)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General Security Certificate – TSTI, UAE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Preparatory Surveying Course – Engineering Leveling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Basic Security Guard Training – NSI, UAE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ASSD License – UAE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color w:val="00008b"/>
          <w:sz w:val="28"/>
          <w:szCs w:val="28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Surveying &amp; Mapping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Electrical Supervision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Quality Control &amp; Inspection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Management &amp; 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Digital Marketing Basics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Critical Thinking &amp; Negotiation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Computer &amp; Software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color w:val="00008b"/>
          <w:sz w:val="28"/>
          <w:szCs w:val="28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Arabic: Native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English: Good (working proficiency)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